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C760046" w14:textId="77777777" w:rsidR="00F579B2" w:rsidRDefault="00910AA3">
      <w:pPr>
        <w:rPr>
          <w:rFonts w:ascii="Times New Roman" w:hAnsi="Times New Roman" w:cs="Times New Roman"/>
          <w:sz w:val="24"/>
          <w:szCs w:val="32"/>
        </w:rPr>
      </w:pPr>
      <w:r>
        <w:rPr>
          <w:rFonts w:ascii="Times New Roman" w:hAnsi="Times New Roman" w:cs="Times New Roman" w:hint="eastAsia"/>
          <w:noProof/>
          <w:sz w:val="24"/>
          <w:szCs w:val="32"/>
        </w:rPr>
        <w:drawing>
          <wp:inline distT="0" distB="0" distL="114300" distR="114300">
            <wp:extent cx="5269865" cy="5275580"/>
            <wp:effectExtent l="0" t="0" r="6985" b="1270"/>
            <wp:docPr id="1" name="图片 1" descr="补充图1-ModelvsM_NC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补充图1-ModelvsM_NCR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527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F551DF" w14:textId="77777777" w:rsidR="00F579B2" w:rsidRDefault="00910AA3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b/>
          <w:bCs/>
          <w:sz w:val="24"/>
        </w:rPr>
        <w:t>Supplementary</w:t>
      </w:r>
      <w:r>
        <w:rPr>
          <w:rFonts w:ascii="Times New Roman" w:hAnsi="Times New Roman" w:cs="Times New Roman" w:hint="eastAsia"/>
          <w:b/>
          <w:bCs/>
          <w:sz w:val="24"/>
        </w:rPr>
        <w:t xml:space="preserve"> </w:t>
      </w:r>
      <w:r>
        <w:rPr>
          <w:rFonts w:ascii="Times New Roman" w:hAnsi="Times New Roman" w:cs="Times New Roman"/>
          <w:b/>
          <w:bCs/>
          <w:sz w:val="24"/>
        </w:rPr>
        <w:t xml:space="preserve">Fig. </w:t>
      </w:r>
      <w:r>
        <w:rPr>
          <w:rFonts w:ascii="Times New Roman" w:hAnsi="Times New Roman" w:cs="Times New Roman" w:hint="eastAsia"/>
          <w:b/>
          <w:bCs/>
          <w:sz w:val="24"/>
        </w:rPr>
        <w:t>1</w:t>
      </w:r>
      <w:r>
        <w:rPr>
          <w:rFonts w:ascii="Times New Roman" w:hAnsi="Times New Roman" w:cs="Times New Roman"/>
          <w:b/>
          <w:bCs/>
          <w:sz w:val="24"/>
        </w:rPr>
        <w:t>.</w:t>
      </w:r>
      <w:r>
        <w:rPr>
          <w:rFonts w:ascii="Times New Roman" w:hAnsi="Times New Roman" w:cs="Times New Roman"/>
          <w:b/>
          <w:bCs/>
          <w:sz w:val="24"/>
        </w:rPr>
        <w:t xml:space="preserve"> Bioinformatics analysis of differential metabolites between the Model and M-NCR groups.</w:t>
      </w:r>
      <w:r>
        <w:rPr>
          <w:rFonts w:ascii="Times New Roman" w:hAnsi="Times New Roman" w:cs="Times New Roman"/>
          <w:sz w:val="24"/>
        </w:rPr>
        <w:t xml:space="preserve"> (</w:t>
      </w:r>
      <w:r>
        <w:rPr>
          <w:rFonts w:ascii="Times New Roman" w:hAnsi="Times New Roman" w:cs="Times New Roman" w:hint="eastAsia"/>
          <w:sz w:val="24"/>
        </w:rPr>
        <w:t>A</w:t>
      </w:r>
      <w:r>
        <w:rPr>
          <w:rFonts w:ascii="Times New Roman" w:hAnsi="Times New Roman" w:cs="Times New Roman"/>
          <w:sz w:val="24"/>
        </w:rPr>
        <w:t>)</w:t>
      </w:r>
      <w:r>
        <w:rPr>
          <w:rFonts w:ascii="Times New Roman" w:hAnsi="Times New Roman" w:cs="Times New Roman" w:hint="eastAsia"/>
          <w:sz w:val="24"/>
        </w:rPr>
        <w:t xml:space="preserve"> OPLS-DA score scatter plot. The horizontal distance between samples reflects intergroup differences (Model </w:t>
      </w:r>
      <w:r>
        <w:rPr>
          <w:rFonts w:ascii="Times New Roman" w:hAnsi="Times New Roman" w:cs="Times New Roman" w:hint="eastAsia"/>
          <w:i/>
          <w:iCs/>
          <w:sz w:val="24"/>
        </w:rPr>
        <w:t>vs.</w:t>
      </w:r>
      <w:r>
        <w:rPr>
          <w:rFonts w:ascii="Times New Roman" w:hAnsi="Times New Roman" w:cs="Times New Roman" w:hint="eastAsia"/>
          <w:sz w:val="24"/>
        </w:rPr>
        <w:t xml:space="preserve"> M-NCR), while vertical proximity indicates intra-group reproducibility. </w:t>
      </w:r>
      <w:r>
        <w:rPr>
          <w:rFonts w:ascii="Times New Roman" w:hAnsi="Times New Roman" w:cs="Times New Roman"/>
          <w:sz w:val="24"/>
        </w:rPr>
        <w:t>(</w:t>
      </w:r>
      <w:r>
        <w:rPr>
          <w:rFonts w:ascii="Times New Roman" w:hAnsi="Times New Roman" w:cs="Times New Roman" w:hint="eastAsia"/>
          <w:sz w:val="24"/>
        </w:rPr>
        <w:t>B</w:t>
      </w:r>
      <w:r>
        <w:rPr>
          <w:rFonts w:ascii="Times New Roman" w:hAnsi="Times New Roman" w:cs="Times New Roman"/>
          <w:sz w:val="24"/>
        </w:rPr>
        <w:t>) Volcano plot displaying metabolites with significant changes (up- an</w:t>
      </w:r>
      <w:r>
        <w:rPr>
          <w:rFonts w:ascii="Times New Roman" w:hAnsi="Times New Roman" w:cs="Times New Roman"/>
          <w:sz w:val="24"/>
        </w:rPr>
        <w:t>d down-regulated).</w:t>
      </w:r>
      <w:r>
        <w:rPr>
          <w:rFonts w:ascii="Times New Roman" w:hAnsi="Times New Roman" w:cs="Times New Roman" w:hint="eastAsia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Hierarchical clustering heatmap of the top 10 upregulated and downregulated metabolites between Model and M-NCR groups.</w:t>
      </w:r>
      <w:r>
        <w:rPr>
          <w:rFonts w:ascii="Times New Roman" w:hAnsi="Times New Roman" w:cs="Times New Roman" w:hint="eastAsia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(C) KEGG pathway enrichment analysis (group comparison): Display of KEGG metabolic pathways in which differential met</w:t>
      </w:r>
      <w:r>
        <w:rPr>
          <w:rFonts w:ascii="Times New Roman" w:hAnsi="Times New Roman" w:cs="Times New Roman"/>
          <w:sz w:val="24"/>
        </w:rPr>
        <w:t>abolites show opposite trends between the Model and M-NCR groups. (D) KEGG pathway enrichment analysis (overview): Bar charts showing pathways with the highest number of enriched differential metabolites (top) and pathways with the highest enrichment signi</w:t>
      </w:r>
      <w:r>
        <w:rPr>
          <w:rFonts w:ascii="Times New Roman" w:hAnsi="Times New Roman" w:cs="Times New Roman"/>
          <w:sz w:val="24"/>
        </w:rPr>
        <w:t>ficance (bottom). (</w:t>
      </w:r>
      <w:r>
        <w:rPr>
          <w:rFonts w:ascii="Times New Roman" w:hAnsi="Times New Roman" w:cs="Times New Roman" w:hint="eastAsia"/>
          <w:sz w:val="24"/>
        </w:rPr>
        <w:t>E</w:t>
      </w:r>
      <w:r>
        <w:rPr>
          <w:rFonts w:ascii="Times New Roman" w:hAnsi="Times New Roman" w:cs="Times New Roman"/>
          <w:sz w:val="24"/>
        </w:rPr>
        <w:t>) Metabolic pathway regulatory interaction network: Constructed based on the KEGG database, illustrating the interactions among key metabolic pathways, associated regulatory enzymes, and differential metabolites.</w:t>
      </w:r>
    </w:p>
    <w:p w14:paraId="0F52CD0E" w14:textId="77777777" w:rsidR="00F579B2" w:rsidRDefault="00910AA3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Note:</w:t>
      </w:r>
      <w:r>
        <w:rPr>
          <w:rFonts w:ascii="Times New Roman" w:hAnsi="Times New Roman" w:cs="Times New Roman" w:hint="eastAsia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Model, Model grou</w:t>
      </w:r>
      <w:r>
        <w:rPr>
          <w:rFonts w:ascii="Times New Roman" w:hAnsi="Times New Roman" w:cs="Times New Roman"/>
          <w:sz w:val="24"/>
        </w:rPr>
        <w:t xml:space="preserve">p; M-NCR, </w:t>
      </w:r>
      <w:proofErr w:type="spellStart"/>
      <w:r>
        <w:rPr>
          <w:rFonts w:ascii="Times New Roman" w:hAnsi="Times New Roman" w:cs="Times New Roman"/>
          <w:sz w:val="24"/>
        </w:rPr>
        <w:t>Model+NC_R</w:t>
      </w:r>
      <w:proofErr w:type="spellEnd"/>
      <w:r>
        <w:rPr>
          <w:rFonts w:ascii="Times New Roman" w:hAnsi="Times New Roman" w:cs="Times New Roman"/>
          <w:sz w:val="24"/>
        </w:rPr>
        <w:t xml:space="preserve"> group.</w:t>
      </w:r>
    </w:p>
    <w:p w14:paraId="76913AEB" w14:textId="77777777" w:rsidR="00F579B2" w:rsidRDefault="00F579B2">
      <w:pPr>
        <w:rPr>
          <w:rFonts w:ascii="Times New Roman" w:hAnsi="Times New Roman" w:cs="Times New Roman"/>
          <w:sz w:val="24"/>
        </w:rPr>
      </w:pPr>
    </w:p>
    <w:p w14:paraId="66B79A9E" w14:textId="77777777" w:rsidR="00F579B2" w:rsidRDefault="00910AA3">
      <w:pPr>
        <w:rPr>
          <w:rFonts w:ascii="Times New Roman" w:hAnsi="Times New Roman" w:cs="Times New Roman"/>
          <w:sz w:val="24"/>
          <w:szCs w:val="32"/>
        </w:rPr>
      </w:pPr>
      <w:r>
        <w:rPr>
          <w:rFonts w:ascii="Times New Roman" w:hAnsi="Times New Roman" w:cs="Times New Roman" w:hint="eastAsia"/>
          <w:noProof/>
          <w:sz w:val="24"/>
          <w:szCs w:val="32"/>
        </w:rPr>
        <w:lastRenderedPageBreak/>
        <w:drawing>
          <wp:inline distT="0" distB="0" distL="114300" distR="114300">
            <wp:extent cx="5273040" cy="5744845"/>
            <wp:effectExtent l="0" t="0" r="3810" b="8255"/>
            <wp:docPr id="2" name="图片 2" descr="补充图2-ModelvsM_LC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补充图2-ModelvsM_LCC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5744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B392DD" w14:textId="77777777" w:rsidR="00F579B2" w:rsidRDefault="00910AA3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b/>
          <w:bCs/>
          <w:sz w:val="24"/>
        </w:rPr>
        <w:t>Supplementary</w:t>
      </w:r>
      <w:r>
        <w:rPr>
          <w:rFonts w:ascii="Times New Roman" w:hAnsi="Times New Roman" w:cs="Times New Roman" w:hint="eastAsia"/>
          <w:b/>
          <w:bCs/>
          <w:sz w:val="24"/>
        </w:rPr>
        <w:t xml:space="preserve"> </w:t>
      </w:r>
      <w:r>
        <w:rPr>
          <w:rFonts w:ascii="Times New Roman" w:hAnsi="Times New Roman" w:cs="Times New Roman"/>
          <w:b/>
          <w:bCs/>
          <w:sz w:val="24"/>
        </w:rPr>
        <w:t xml:space="preserve">Fig. </w:t>
      </w:r>
      <w:r>
        <w:rPr>
          <w:rFonts w:ascii="Times New Roman" w:hAnsi="Times New Roman" w:cs="Times New Roman" w:hint="eastAsia"/>
          <w:b/>
          <w:bCs/>
          <w:sz w:val="24"/>
        </w:rPr>
        <w:t>2</w:t>
      </w:r>
      <w:r>
        <w:rPr>
          <w:rFonts w:ascii="Times New Roman" w:hAnsi="Times New Roman" w:cs="Times New Roman"/>
          <w:b/>
          <w:bCs/>
          <w:sz w:val="24"/>
        </w:rPr>
        <w:t xml:space="preserve">. Bioinformatics analysis of differential metabolites between the Model and M-LGG groups. </w:t>
      </w:r>
      <w:r>
        <w:rPr>
          <w:rFonts w:ascii="Times New Roman" w:hAnsi="Times New Roman" w:cs="Times New Roman"/>
          <w:sz w:val="24"/>
        </w:rPr>
        <w:t>(</w:t>
      </w:r>
      <w:r>
        <w:rPr>
          <w:rFonts w:ascii="Times New Roman" w:hAnsi="Times New Roman" w:cs="Times New Roman" w:hint="eastAsia"/>
          <w:sz w:val="24"/>
        </w:rPr>
        <w:t>A</w:t>
      </w:r>
      <w:r>
        <w:rPr>
          <w:rFonts w:ascii="Times New Roman" w:hAnsi="Times New Roman" w:cs="Times New Roman"/>
          <w:sz w:val="24"/>
        </w:rPr>
        <w:t>)</w:t>
      </w:r>
      <w:r>
        <w:rPr>
          <w:rFonts w:ascii="Times New Roman" w:hAnsi="Times New Roman" w:cs="Times New Roman" w:hint="eastAsia"/>
          <w:sz w:val="24"/>
        </w:rPr>
        <w:t xml:space="preserve"> OPLS-DA score scatter plot. The horizontal distance between samples reflects intergroup differences (Model </w:t>
      </w:r>
      <w:r>
        <w:rPr>
          <w:rFonts w:ascii="Times New Roman" w:hAnsi="Times New Roman" w:cs="Times New Roman" w:hint="eastAsia"/>
          <w:i/>
          <w:iCs/>
          <w:sz w:val="24"/>
        </w:rPr>
        <w:t>vs.</w:t>
      </w:r>
      <w:r>
        <w:rPr>
          <w:rFonts w:ascii="Times New Roman" w:hAnsi="Times New Roman" w:cs="Times New Roman" w:hint="eastAsia"/>
          <w:sz w:val="24"/>
        </w:rPr>
        <w:t xml:space="preserve"> </w:t>
      </w:r>
      <w:r>
        <w:rPr>
          <w:rFonts w:ascii="Times New Roman" w:hAnsi="Times New Roman" w:cs="Times New Roman" w:hint="eastAsia"/>
          <w:sz w:val="24"/>
        </w:rPr>
        <w:t xml:space="preserve">M-LGG), while vertical proximity indicates intra-group reproducibility. </w:t>
      </w:r>
      <w:r>
        <w:rPr>
          <w:rFonts w:ascii="Times New Roman" w:hAnsi="Times New Roman" w:cs="Times New Roman"/>
          <w:sz w:val="24"/>
        </w:rPr>
        <w:t>(</w:t>
      </w:r>
      <w:r>
        <w:rPr>
          <w:rFonts w:ascii="Times New Roman" w:hAnsi="Times New Roman" w:cs="Times New Roman" w:hint="eastAsia"/>
          <w:sz w:val="24"/>
        </w:rPr>
        <w:t>B</w:t>
      </w:r>
      <w:r>
        <w:rPr>
          <w:rFonts w:ascii="Times New Roman" w:hAnsi="Times New Roman" w:cs="Times New Roman"/>
          <w:sz w:val="24"/>
        </w:rPr>
        <w:t>) Volcano plot displaying metabolites with significant changes (up- and down-regulated).</w:t>
      </w:r>
      <w:r>
        <w:rPr>
          <w:rFonts w:ascii="Times New Roman" w:hAnsi="Times New Roman" w:cs="Times New Roman" w:hint="eastAsia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Hierarchical clustering heatmap of the top 10 upregulated and downregulated metabolites betwe</w:t>
      </w:r>
      <w:r>
        <w:rPr>
          <w:rFonts w:ascii="Times New Roman" w:hAnsi="Times New Roman" w:cs="Times New Roman"/>
          <w:sz w:val="24"/>
        </w:rPr>
        <w:t xml:space="preserve">en </w:t>
      </w:r>
      <w:r>
        <w:rPr>
          <w:rFonts w:ascii="Times New Roman" w:hAnsi="Times New Roman" w:cs="Times New Roman"/>
          <w:sz w:val="24"/>
          <w:szCs w:val="32"/>
        </w:rPr>
        <w:t>Model and M</w:t>
      </w:r>
      <w:r>
        <w:rPr>
          <w:rFonts w:ascii="Times New Roman" w:hAnsi="Times New Roman" w:cs="Times New Roman" w:hint="eastAsia"/>
          <w:sz w:val="24"/>
          <w:szCs w:val="32"/>
        </w:rPr>
        <w:t>-LGG</w:t>
      </w:r>
      <w:r>
        <w:rPr>
          <w:rFonts w:ascii="Times New Roman" w:hAnsi="Times New Roman" w:cs="Times New Roman"/>
          <w:sz w:val="24"/>
        </w:rPr>
        <w:t xml:space="preserve"> groups.</w:t>
      </w:r>
      <w:r>
        <w:rPr>
          <w:rFonts w:ascii="Times New Roman" w:hAnsi="Times New Roman" w:cs="Times New Roman" w:hint="eastAsia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 xml:space="preserve">(C) KEGG pathway enrichment analysis (group comparison): Display of KEGG metabolic pathways in which differential metabolites show opposite trends between the </w:t>
      </w:r>
      <w:r>
        <w:rPr>
          <w:rFonts w:ascii="Times New Roman" w:hAnsi="Times New Roman" w:cs="Times New Roman"/>
          <w:sz w:val="24"/>
          <w:szCs w:val="32"/>
        </w:rPr>
        <w:t>Model and M</w:t>
      </w:r>
      <w:r>
        <w:rPr>
          <w:rFonts w:ascii="Times New Roman" w:hAnsi="Times New Roman" w:cs="Times New Roman" w:hint="eastAsia"/>
          <w:sz w:val="24"/>
          <w:szCs w:val="32"/>
        </w:rPr>
        <w:t>-LGG</w:t>
      </w:r>
      <w:r>
        <w:rPr>
          <w:rFonts w:ascii="Times New Roman" w:hAnsi="Times New Roman" w:cs="Times New Roman"/>
          <w:sz w:val="24"/>
        </w:rPr>
        <w:t xml:space="preserve"> groups. (D) KEGG pathway enrichment analysis (overview): Bar charts showing pathw</w:t>
      </w:r>
      <w:r>
        <w:rPr>
          <w:rFonts w:ascii="Times New Roman" w:hAnsi="Times New Roman" w:cs="Times New Roman"/>
          <w:sz w:val="24"/>
        </w:rPr>
        <w:t>ays with the highest number of enriched differential metabolites (top) and pathways with the highest enrichment significance (bottom). (E)</w:t>
      </w:r>
      <w:r>
        <w:rPr>
          <w:rFonts w:ascii="Times New Roman" w:hAnsi="Times New Roman" w:cs="Times New Roman" w:hint="eastAsia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Metabolic pathway regulatory interaction network: Constructed based on the KEGG database, illustrating the interactio</w:t>
      </w:r>
      <w:r>
        <w:rPr>
          <w:rFonts w:ascii="Times New Roman" w:hAnsi="Times New Roman" w:cs="Times New Roman"/>
          <w:sz w:val="24"/>
        </w:rPr>
        <w:t>ns among key metabolic pathways, associated regulatory enzymes, and differential metabolites.</w:t>
      </w:r>
    </w:p>
    <w:p w14:paraId="0015FE9B" w14:textId="77777777" w:rsidR="00F579B2" w:rsidRDefault="00910AA3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lastRenderedPageBreak/>
        <w:t>Note:</w:t>
      </w:r>
      <w:r>
        <w:rPr>
          <w:rFonts w:ascii="Times New Roman" w:hAnsi="Times New Roman" w:cs="Times New Roman" w:hint="eastAsia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Model, Model group;</w:t>
      </w:r>
      <w:r>
        <w:rPr>
          <w:rFonts w:ascii="Times New Roman" w:hAnsi="Times New Roman" w:cs="Times New Roman" w:hint="eastAsia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M-</w:t>
      </w:r>
      <w:r>
        <w:rPr>
          <w:rFonts w:ascii="Times New Roman" w:hAnsi="Times New Roman" w:cs="Times New Roman" w:hint="eastAsia"/>
          <w:sz w:val="24"/>
        </w:rPr>
        <w:t>LGG</w:t>
      </w:r>
      <w:r>
        <w:rPr>
          <w:rFonts w:ascii="Times New Roman" w:hAnsi="Times New Roman" w:cs="Times New Roman"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</w:rPr>
        <w:t>Model+</w:t>
      </w:r>
      <w:r>
        <w:rPr>
          <w:rFonts w:ascii="Times New Roman" w:hAnsi="Times New Roman" w:cs="Times New Roman" w:hint="eastAsia"/>
          <w:sz w:val="24"/>
        </w:rPr>
        <w:t>LGG</w:t>
      </w:r>
      <w:proofErr w:type="spellEnd"/>
      <w:r>
        <w:rPr>
          <w:rFonts w:ascii="Times New Roman" w:hAnsi="Times New Roman" w:cs="Times New Roman"/>
          <w:sz w:val="24"/>
        </w:rPr>
        <w:t xml:space="preserve"> group.</w:t>
      </w:r>
    </w:p>
    <w:p w14:paraId="66D53D60" w14:textId="77777777" w:rsidR="00F579B2" w:rsidRDefault="00F579B2">
      <w:pPr>
        <w:rPr>
          <w:rFonts w:ascii="Times New Roman" w:hAnsi="Times New Roman" w:cs="Times New Roman"/>
          <w:sz w:val="24"/>
        </w:rPr>
      </w:pPr>
    </w:p>
    <w:p w14:paraId="2BAA88F2" w14:textId="77777777" w:rsidR="00F579B2" w:rsidRDefault="00910AA3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 w:hint="eastAsia"/>
          <w:noProof/>
          <w:sz w:val="24"/>
        </w:rPr>
        <w:drawing>
          <wp:inline distT="0" distB="0" distL="114300" distR="114300">
            <wp:extent cx="5271135" cy="7730490"/>
            <wp:effectExtent l="0" t="0" r="5715" b="3810"/>
            <wp:docPr id="3" name="图片 3" descr="补充图3-ModelvsLCC_NC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补充图3-ModelvsLCC_NCR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730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546C21" w14:textId="77777777" w:rsidR="00F579B2" w:rsidRDefault="00910AA3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b/>
          <w:bCs/>
          <w:sz w:val="24"/>
        </w:rPr>
        <w:t>Supplementary</w:t>
      </w:r>
      <w:r>
        <w:rPr>
          <w:rFonts w:ascii="Times New Roman" w:hAnsi="Times New Roman" w:cs="Times New Roman" w:hint="eastAsia"/>
          <w:b/>
          <w:bCs/>
          <w:sz w:val="24"/>
        </w:rPr>
        <w:t xml:space="preserve"> </w:t>
      </w:r>
      <w:r>
        <w:rPr>
          <w:rFonts w:ascii="Times New Roman" w:hAnsi="Times New Roman" w:cs="Times New Roman"/>
          <w:b/>
          <w:bCs/>
          <w:sz w:val="24"/>
        </w:rPr>
        <w:t xml:space="preserve">Fig. </w:t>
      </w:r>
      <w:r>
        <w:rPr>
          <w:rFonts w:ascii="Times New Roman" w:hAnsi="Times New Roman" w:cs="Times New Roman" w:hint="eastAsia"/>
          <w:b/>
          <w:bCs/>
          <w:sz w:val="24"/>
        </w:rPr>
        <w:t>3</w:t>
      </w:r>
      <w:r>
        <w:rPr>
          <w:rFonts w:ascii="Times New Roman" w:hAnsi="Times New Roman" w:cs="Times New Roman"/>
          <w:b/>
          <w:bCs/>
          <w:sz w:val="24"/>
        </w:rPr>
        <w:t>. Bioinformatics analysis of differential metabolites between the Model and M-LGG-NCR gro</w:t>
      </w:r>
      <w:r>
        <w:rPr>
          <w:rFonts w:ascii="Times New Roman" w:hAnsi="Times New Roman" w:cs="Times New Roman"/>
          <w:b/>
          <w:bCs/>
          <w:sz w:val="24"/>
        </w:rPr>
        <w:t xml:space="preserve">ups. </w:t>
      </w:r>
      <w:r>
        <w:rPr>
          <w:rFonts w:ascii="Times New Roman" w:hAnsi="Times New Roman" w:cs="Times New Roman"/>
          <w:sz w:val="24"/>
        </w:rPr>
        <w:t>(</w:t>
      </w:r>
      <w:r>
        <w:rPr>
          <w:rFonts w:ascii="Times New Roman" w:hAnsi="Times New Roman" w:cs="Times New Roman" w:hint="eastAsia"/>
          <w:sz w:val="24"/>
        </w:rPr>
        <w:t>A</w:t>
      </w:r>
      <w:r>
        <w:rPr>
          <w:rFonts w:ascii="Times New Roman" w:hAnsi="Times New Roman" w:cs="Times New Roman"/>
          <w:sz w:val="24"/>
        </w:rPr>
        <w:t>)</w:t>
      </w:r>
      <w:r>
        <w:rPr>
          <w:rFonts w:ascii="Times New Roman" w:hAnsi="Times New Roman" w:cs="Times New Roman" w:hint="eastAsia"/>
          <w:sz w:val="24"/>
        </w:rPr>
        <w:t xml:space="preserve"> OPLS-DA score scatter plot. The horizontal </w:t>
      </w:r>
      <w:r>
        <w:rPr>
          <w:rFonts w:ascii="Times New Roman" w:hAnsi="Times New Roman" w:cs="Times New Roman" w:hint="eastAsia"/>
          <w:sz w:val="24"/>
        </w:rPr>
        <w:lastRenderedPageBreak/>
        <w:t xml:space="preserve">distance between samples reflects intergroup differences (Model </w:t>
      </w:r>
      <w:r>
        <w:rPr>
          <w:rFonts w:ascii="Times New Roman" w:hAnsi="Times New Roman" w:cs="Times New Roman" w:hint="eastAsia"/>
          <w:i/>
          <w:iCs/>
          <w:sz w:val="24"/>
        </w:rPr>
        <w:t>vs.</w:t>
      </w:r>
      <w:r>
        <w:rPr>
          <w:rFonts w:ascii="Times New Roman" w:hAnsi="Times New Roman" w:cs="Times New Roman" w:hint="eastAsia"/>
          <w:sz w:val="24"/>
        </w:rPr>
        <w:t xml:space="preserve"> M-LGG-NCR), while vertical proximity indicates intra-group reproducibility. </w:t>
      </w:r>
      <w:r>
        <w:rPr>
          <w:rFonts w:ascii="Times New Roman" w:hAnsi="Times New Roman" w:cs="Times New Roman"/>
          <w:sz w:val="24"/>
        </w:rPr>
        <w:t>(</w:t>
      </w:r>
      <w:r>
        <w:rPr>
          <w:rFonts w:ascii="Times New Roman" w:hAnsi="Times New Roman" w:cs="Times New Roman" w:hint="eastAsia"/>
          <w:sz w:val="24"/>
        </w:rPr>
        <w:t>B</w:t>
      </w:r>
      <w:r>
        <w:rPr>
          <w:rFonts w:ascii="Times New Roman" w:hAnsi="Times New Roman" w:cs="Times New Roman"/>
          <w:sz w:val="24"/>
        </w:rPr>
        <w:t>) Volcano plot displaying metabolites with significant cha</w:t>
      </w:r>
      <w:r>
        <w:rPr>
          <w:rFonts w:ascii="Times New Roman" w:hAnsi="Times New Roman" w:cs="Times New Roman"/>
          <w:sz w:val="24"/>
        </w:rPr>
        <w:t>nges (up- and down-regulated).</w:t>
      </w:r>
      <w:r>
        <w:rPr>
          <w:rFonts w:ascii="Times New Roman" w:hAnsi="Times New Roman" w:cs="Times New Roman" w:hint="eastAsia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 xml:space="preserve">Hierarchical clustering heatmap of the top 10 upregulated and downregulated metabolites between </w:t>
      </w:r>
      <w:r>
        <w:rPr>
          <w:rFonts w:ascii="Times New Roman" w:hAnsi="Times New Roman" w:cs="Times New Roman"/>
          <w:sz w:val="24"/>
          <w:szCs w:val="32"/>
        </w:rPr>
        <w:t>Model and M-LGG-NCR</w:t>
      </w:r>
      <w:r>
        <w:rPr>
          <w:rFonts w:ascii="Times New Roman" w:hAnsi="Times New Roman" w:cs="Times New Roman"/>
          <w:sz w:val="24"/>
        </w:rPr>
        <w:t xml:space="preserve"> groups.</w:t>
      </w:r>
      <w:r>
        <w:rPr>
          <w:rFonts w:ascii="Times New Roman" w:hAnsi="Times New Roman" w:cs="Times New Roman" w:hint="eastAsia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 xml:space="preserve">(C) KEGG pathway enrichment analysis (group comparison): Display of KEGG metabolic pathways in which </w:t>
      </w:r>
      <w:r>
        <w:rPr>
          <w:rFonts w:ascii="Times New Roman" w:hAnsi="Times New Roman" w:cs="Times New Roman"/>
          <w:sz w:val="24"/>
        </w:rPr>
        <w:t xml:space="preserve">differential metabolites show opposite trends between the </w:t>
      </w:r>
      <w:r>
        <w:rPr>
          <w:rFonts w:ascii="Times New Roman" w:hAnsi="Times New Roman" w:cs="Times New Roman"/>
          <w:sz w:val="24"/>
          <w:szCs w:val="32"/>
        </w:rPr>
        <w:t>Model and M-LGG-NCR</w:t>
      </w:r>
      <w:r>
        <w:rPr>
          <w:rFonts w:ascii="Times New Roman" w:hAnsi="Times New Roman" w:cs="Times New Roman"/>
          <w:sz w:val="24"/>
        </w:rPr>
        <w:t xml:space="preserve"> groups. (D) KEGG pathway enrichment analysis (overview): Bar charts showing pathways with the highest number of enriched differential metabolites (top) and pathways with the high</w:t>
      </w:r>
      <w:r>
        <w:rPr>
          <w:rFonts w:ascii="Times New Roman" w:hAnsi="Times New Roman" w:cs="Times New Roman"/>
          <w:sz w:val="24"/>
        </w:rPr>
        <w:t>est enrichment significance (bottom). (E) KEGG pathway enrichment bubble plots: Visualization of enrichment analysis results. Bubble color intensity represents enrichment significance (-log</w:t>
      </w:r>
      <w:r>
        <w:rPr>
          <w:rFonts w:ascii="Times New Roman" w:hAnsi="Times New Roman" w:cs="Times New Roman"/>
          <w:sz w:val="24"/>
          <w:vertAlign w:val="subscript"/>
        </w:rPr>
        <w:t>10</w:t>
      </w:r>
      <w:r>
        <w:rPr>
          <w:rFonts w:ascii="Times New Roman" w:hAnsi="Times New Roman" w:cs="Times New Roman"/>
          <w:sz w:val="24"/>
        </w:rPr>
        <w:t>(P-value)), and bubble size represents the number of differential</w:t>
      </w:r>
      <w:r>
        <w:rPr>
          <w:rFonts w:ascii="Times New Roman" w:hAnsi="Times New Roman" w:cs="Times New Roman"/>
          <w:sz w:val="24"/>
        </w:rPr>
        <w:t xml:space="preserve"> metabolites. (F) KEGG pathway enrichment rectangular tree diagram, each square in the rectangular tree diagram represents a metabolic pathway, and the size of the square indicates the size of the influence factor of the pathway in topology analysis. The l</w:t>
      </w:r>
      <w:r>
        <w:rPr>
          <w:rFonts w:ascii="Times New Roman" w:hAnsi="Times New Roman" w:cs="Times New Roman"/>
          <w:sz w:val="24"/>
        </w:rPr>
        <w:t xml:space="preserve">arger the size, the greater the influence factor. The color of the square represents the P value of enrichment analysis (negative natural logarithm, that is, -ln(p)), and the deeper the color, the smaller the </w:t>
      </w:r>
      <w:r>
        <w:rPr>
          <w:rFonts w:ascii="Times New Roman" w:hAnsi="Times New Roman" w:cs="Times New Roman"/>
          <w:i/>
          <w:iCs/>
          <w:sz w:val="24"/>
        </w:rPr>
        <w:t>P</w:t>
      </w:r>
      <w:r>
        <w:rPr>
          <w:rFonts w:ascii="Times New Roman" w:hAnsi="Times New Roman" w:cs="Times New Roman"/>
          <w:sz w:val="24"/>
        </w:rPr>
        <w:t xml:space="preserve"> value, and the more significant the enrichmen</w:t>
      </w:r>
      <w:r>
        <w:rPr>
          <w:rFonts w:ascii="Times New Roman" w:hAnsi="Times New Roman" w:cs="Times New Roman"/>
          <w:sz w:val="24"/>
        </w:rPr>
        <w:t>t degree highlighting key pathways such as "Fructose and mannose metabolism". (G) Metabolic pathway regulatory interaction network: Constructed based on the KEGG database, illustrating the interactions among key metabolic pathways, associated regulatory en</w:t>
      </w:r>
      <w:r>
        <w:rPr>
          <w:rFonts w:ascii="Times New Roman" w:hAnsi="Times New Roman" w:cs="Times New Roman"/>
          <w:sz w:val="24"/>
        </w:rPr>
        <w:t>zymes, and differential metabolites.</w:t>
      </w:r>
    </w:p>
    <w:p w14:paraId="69C4FB03" w14:textId="77777777" w:rsidR="00F579B2" w:rsidRDefault="00910AA3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Note:</w:t>
      </w:r>
      <w:r>
        <w:rPr>
          <w:rFonts w:ascii="Times New Roman" w:hAnsi="Times New Roman" w:cs="Times New Roman" w:hint="eastAsia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 xml:space="preserve">Model, Model group; M-NCR, </w:t>
      </w:r>
      <w:proofErr w:type="spellStart"/>
      <w:r>
        <w:rPr>
          <w:rFonts w:ascii="Times New Roman" w:hAnsi="Times New Roman" w:cs="Times New Roman"/>
          <w:sz w:val="24"/>
        </w:rPr>
        <w:t>Model+NC_R</w:t>
      </w:r>
      <w:proofErr w:type="spellEnd"/>
      <w:r>
        <w:rPr>
          <w:rFonts w:ascii="Times New Roman" w:hAnsi="Times New Roman" w:cs="Times New Roman"/>
          <w:sz w:val="24"/>
        </w:rPr>
        <w:t xml:space="preserve"> group.</w:t>
      </w:r>
    </w:p>
    <w:p w14:paraId="44DE97CD" w14:textId="77777777" w:rsidR="00F579B2" w:rsidRDefault="00F579B2">
      <w:pPr>
        <w:rPr>
          <w:rFonts w:ascii="Times New Roman" w:hAnsi="Times New Roman" w:cs="Times New Roman"/>
          <w:b/>
          <w:bCs/>
          <w:sz w:val="24"/>
        </w:rPr>
      </w:pPr>
    </w:p>
    <w:p w14:paraId="176622AE" w14:textId="77777777" w:rsidR="00F579B2" w:rsidRDefault="00910AA3">
      <w:pPr>
        <w:rPr>
          <w:rFonts w:ascii="Times New Roman" w:hAnsi="Times New Roman" w:cs="Times New Roman"/>
          <w:b/>
          <w:bCs/>
          <w:sz w:val="24"/>
        </w:rPr>
      </w:pPr>
      <w:r>
        <w:rPr>
          <w:rFonts w:ascii="Times New Roman" w:hAnsi="Times New Roman" w:cs="Times New Roman" w:hint="eastAsia"/>
          <w:b/>
          <w:bCs/>
          <w:noProof/>
          <w:sz w:val="24"/>
        </w:rPr>
        <w:lastRenderedPageBreak/>
        <w:drawing>
          <wp:inline distT="0" distB="0" distL="114300" distR="114300">
            <wp:extent cx="5269230" cy="7757795"/>
            <wp:effectExtent l="0" t="0" r="7620" b="14605"/>
            <wp:docPr id="4" name="图片 4" descr="补充图4-M_NCRvsLCC_NC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补充图4-M_NCRvsLCC_NCR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757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4D3345" w14:textId="77777777" w:rsidR="00F579B2" w:rsidRDefault="00910AA3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b/>
          <w:bCs/>
          <w:sz w:val="24"/>
        </w:rPr>
        <w:t>Supplementary</w:t>
      </w:r>
      <w:r>
        <w:rPr>
          <w:rFonts w:ascii="Times New Roman" w:hAnsi="Times New Roman" w:cs="Times New Roman" w:hint="eastAsia"/>
          <w:b/>
          <w:bCs/>
          <w:sz w:val="24"/>
        </w:rPr>
        <w:t xml:space="preserve"> </w:t>
      </w:r>
      <w:r>
        <w:rPr>
          <w:rFonts w:ascii="Times New Roman" w:hAnsi="Times New Roman" w:cs="Times New Roman"/>
          <w:b/>
          <w:bCs/>
          <w:sz w:val="24"/>
        </w:rPr>
        <w:t xml:space="preserve">Fig. </w:t>
      </w:r>
      <w:r>
        <w:rPr>
          <w:rFonts w:ascii="Times New Roman" w:hAnsi="Times New Roman" w:cs="Times New Roman" w:hint="eastAsia"/>
          <w:b/>
          <w:bCs/>
          <w:sz w:val="24"/>
        </w:rPr>
        <w:t>4</w:t>
      </w:r>
      <w:r>
        <w:rPr>
          <w:rFonts w:ascii="Times New Roman" w:hAnsi="Times New Roman" w:cs="Times New Roman"/>
          <w:b/>
          <w:bCs/>
          <w:sz w:val="24"/>
        </w:rPr>
        <w:t xml:space="preserve">. Bioinformatics analysis of differential metabolites between the M-NCR and M-LGG-NCR groups. </w:t>
      </w:r>
      <w:r>
        <w:rPr>
          <w:rFonts w:ascii="Times New Roman" w:hAnsi="Times New Roman" w:cs="Times New Roman"/>
          <w:sz w:val="24"/>
        </w:rPr>
        <w:t>(</w:t>
      </w:r>
      <w:r>
        <w:rPr>
          <w:rFonts w:ascii="Times New Roman" w:hAnsi="Times New Roman" w:cs="Times New Roman" w:hint="eastAsia"/>
          <w:sz w:val="24"/>
        </w:rPr>
        <w:t>A</w:t>
      </w:r>
      <w:r>
        <w:rPr>
          <w:rFonts w:ascii="Times New Roman" w:hAnsi="Times New Roman" w:cs="Times New Roman"/>
          <w:sz w:val="24"/>
        </w:rPr>
        <w:t>)</w:t>
      </w:r>
      <w:r>
        <w:rPr>
          <w:rFonts w:ascii="Times New Roman" w:hAnsi="Times New Roman" w:cs="Times New Roman" w:hint="eastAsia"/>
          <w:sz w:val="24"/>
        </w:rPr>
        <w:t xml:space="preserve"> OPLS-DA score scatter plot. The horizontal distance between samples reflects intergroup differences (M-NCR </w:t>
      </w:r>
      <w:r>
        <w:rPr>
          <w:rFonts w:ascii="Times New Roman" w:hAnsi="Times New Roman" w:cs="Times New Roman" w:hint="eastAsia"/>
          <w:i/>
          <w:iCs/>
          <w:sz w:val="24"/>
        </w:rPr>
        <w:t>vs.</w:t>
      </w:r>
      <w:r>
        <w:rPr>
          <w:rFonts w:ascii="Times New Roman" w:hAnsi="Times New Roman" w:cs="Times New Roman" w:hint="eastAsia"/>
          <w:sz w:val="24"/>
        </w:rPr>
        <w:t xml:space="preserve"> M-LGG-NCR), while vertical proximity indicates </w:t>
      </w:r>
      <w:r>
        <w:rPr>
          <w:rFonts w:ascii="Times New Roman" w:hAnsi="Times New Roman" w:cs="Times New Roman" w:hint="eastAsia"/>
          <w:sz w:val="24"/>
        </w:rPr>
        <w:t xml:space="preserve">intra-group reproducibility. </w:t>
      </w:r>
      <w:r>
        <w:rPr>
          <w:rFonts w:ascii="Times New Roman" w:hAnsi="Times New Roman" w:cs="Times New Roman"/>
          <w:sz w:val="24"/>
        </w:rPr>
        <w:t>(</w:t>
      </w:r>
      <w:r>
        <w:rPr>
          <w:rFonts w:ascii="Times New Roman" w:hAnsi="Times New Roman" w:cs="Times New Roman" w:hint="eastAsia"/>
          <w:sz w:val="24"/>
        </w:rPr>
        <w:t>B</w:t>
      </w:r>
      <w:r>
        <w:rPr>
          <w:rFonts w:ascii="Times New Roman" w:hAnsi="Times New Roman" w:cs="Times New Roman"/>
          <w:sz w:val="24"/>
        </w:rPr>
        <w:t xml:space="preserve">) Volcano </w:t>
      </w:r>
      <w:r>
        <w:rPr>
          <w:rFonts w:ascii="Times New Roman" w:hAnsi="Times New Roman" w:cs="Times New Roman"/>
          <w:sz w:val="24"/>
        </w:rPr>
        <w:lastRenderedPageBreak/>
        <w:t>plot displaying metabolites with significant changes (up- and down-regulated).</w:t>
      </w:r>
      <w:r>
        <w:rPr>
          <w:rFonts w:ascii="Times New Roman" w:hAnsi="Times New Roman" w:cs="Times New Roman" w:hint="eastAsia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 xml:space="preserve">Hierarchical clustering heatmap of the top 10 upregulated and downregulated metabolites between </w:t>
      </w:r>
      <w:r>
        <w:rPr>
          <w:rFonts w:ascii="Times New Roman" w:hAnsi="Times New Roman" w:cs="Times New Roman"/>
          <w:sz w:val="24"/>
          <w:szCs w:val="32"/>
        </w:rPr>
        <w:t>M-NCR and M-LGG-NCR</w:t>
      </w:r>
      <w:r>
        <w:rPr>
          <w:rFonts w:ascii="Times New Roman" w:hAnsi="Times New Roman" w:cs="Times New Roman"/>
          <w:sz w:val="24"/>
        </w:rPr>
        <w:t xml:space="preserve"> groups.</w:t>
      </w:r>
      <w:r>
        <w:rPr>
          <w:rFonts w:ascii="Times New Roman" w:hAnsi="Times New Roman" w:cs="Times New Roman" w:hint="eastAsia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(C) KEGG pat</w:t>
      </w:r>
      <w:r>
        <w:rPr>
          <w:rFonts w:ascii="Times New Roman" w:hAnsi="Times New Roman" w:cs="Times New Roman"/>
          <w:sz w:val="24"/>
        </w:rPr>
        <w:t xml:space="preserve">hway enrichment analysis (group comparison): Display of KEGG metabolic pathways in which differential metabolites show opposite trends between the </w:t>
      </w:r>
      <w:r>
        <w:rPr>
          <w:rFonts w:ascii="Times New Roman" w:hAnsi="Times New Roman" w:cs="Times New Roman"/>
          <w:sz w:val="24"/>
          <w:szCs w:val="32"/>
        </w:rPr>
        <w:t>M-NCR and M-LGG-NCR</w:t>
      </w:r>
      <w:r>
        <w:rPr>
          <w:rFonts w:ascii="Times New Roman" w:hAnsi="Times New Roman" w:cs="Times New Roman"/>
          <w:sz w:val="24"/>
        </w:rPr>
        <w:t xml:space="preserve"> groups. (D) KEGG pathway enrichment analysis (overview): Bar charts showing pathways with</w:t>
      </w:r>
      <w:r>
        <w:rPr>
          <w:rFonts w:ascii="Times New Roman" w:hAnsi="Times New Roman" w:cs="Times New Roman"/>
          <w:sz w:val="24"/>
        </w:rPr>
        <w:t xml:space="preserve"> the highest number of enriched differential metabolites (top) and pathways with the highest enrichment significance (bottom). (E) KEGG pathway enrichment bubble plots: Visualization of enrichment analysis results. Bubble color intensity represents enrichm</w:t>
      </w:r>
      <w:r>
        <w:rPr>
          <w:rFonts w:ascii="Times New Roman" w:hAnsi="Times New Roman" w:cs="Times New Roman"/>
          <w:sz w:val="24"/>
        </w:rPr>
        <w:t>ent significance (-log</w:t>
      </w:r>
      <w:r>
        <w:rPr>
          <w:rFonts w:ascii="Times New Roman" w:hAnsi="Times New Roman" w:cs="Times New Roman"/>
          <w:sz w:val="24"/>
          <w:vertAlign w:val="subscript"/>
        </w:rPr>
        <w:t>10</w:t>
      </w:r>
      <w:r>
        <w:rPr>
          <w:rFonts w:ascii="Times New Roman" w:hAnsi="Times New Roman" w:cs="Times New Roman"/>
          <w:sz w:val="24"/>
        </w:rPr>
        <w:t>(P-value)), and bubble size represents the number of differential metabolites. (F) KEGG pathway enrichment rectangular tree diagram, each square in the rectangular tree diagram represents a metabolic pathway, and the size of the squ</w:t>
      </w:r>
      <w:r>
        <w:rPr>
          <w:rFonts w:ascii="Times New Roman" w:hAnsi="Times New Roman" w:cs="Times New Roman"/>
          <w:sz w:val="24"/>
        </w:rPr>
        <w:t xml:space="preserve">are indicates the size of the influence factor of the pathway in topology analysis. The larger the size, the greater the influence factor. The color of the square represents the P value of enrichment analysis (negative natural logarithm, that is, -ln(p)), </w:t>
      </w:r>
      <w:r>
        <w:rPr>
          <w:rFonts w:ascii="Times New Roman" w:hAnsi="Times New Roman" w:cs="Times New Roman"/>
          <w:sz w:val="24"/>
        </w:rPr>
        <w:t xml:space="preserve">and the deeper the color, the smaller the </w:t>
      </w:r>
      <w:r>
        <w:rPr>
          <w:rFonts w:ascii="Times New Roman" w:hAnsi="Times New Roman" w:cs="Times New Roman"/>
          <w:i/>
          <w:iCs/>
          <w:sz w:val="24"/>
        </w:rPr>
        <w:t>P</w:t>
      </w:r>
      <w:r>
        <w:rPr>
          <w:rFonts w:ascii="Times New Roman" w:hAnsi="Times New Roman" w:cs="Times New Roman"/>
          <w:sz w:val="24"/>
        </w:rPr>
        <w:t xml:space="preserve"> value, and the more significant the enrichment degree highlighting key pathways such as "Fructose and mannose metabolism". (G) Metabolic pathway regulatory interaction network: Constructed based on the KEGG datab</w:t>
      </w:r>
      <w:r>
        <w:rPr>
          <w:rFonts w:ascii="Times New Roman" w:hAnsi="Times New Roman" w:cs="Times New Roman"/>
          <w:sz w:val="24"/>
        </w:rPr>
        <w:t>ase, illustrating the interactions among key metabolic pathways, associated regulatory enzymes, and differential metabolites.</w:t>
      </w:r>
    </w:p>
    <w:p w14:paraId="60B4B189" w14:textId="77777777" w:rsidR="00F579B2" w:rsidRDefault="00910AA3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Note:</w:t>
      </w:r>
      <w:r>
        <w:rPr>
          <w:rFonts w:ascii="Times New Roman" w:hAnsi="Times New Roman" w:cs="Times New Roman" w:hint="eastAsia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 xml:space="preserve">M-NCR, </w:t>
      </w:r>
      <w:proofErr w:type="spellStart"/>
      <w:r>
        <w:rPr>
          <w:rFonts w:ascii="Times New Roman" w:hAnsi="Times New Roman" w:cs="Times New Roman"/>
          <w:sz w:val="24"/>
        </w:rPr>
        <w:t>Model+NC_R</w:t>
      </w:r>
      <w:proofErr w:type="spellEnd"/>
      <w:r>
        <w:rPr>
          <w:rFonts w:ascii="Times New Roman" w:hAnsi="Times New Roman" w:cs="Times New Roman"/>
          <w:sz w:val="24"/>
        </w:rPr>
        <w:t xml:space="preserve"> group;</w:t>
      </w:r>
      <w:r>
        <w:rPr>
          <w:rFonts w:ascii="Times New Roman" w:hAnsi="Times New Roman" w:cs="Times New Roman" w:hint="eastAsia"/>
          <w:sz w:val="24"/>
        </w:rPr>
        <w:t xml:space="preserve"> M-LGG</w:t>
      </w:r>
      <w:r>
        <w:rPr>
          <w:rFonts w:ascii="Times New Roman" w:hAnsi="Times New Roman" w:cs="Times New Roman"/>
          <w:sz w:val="24"/>
        </w:rPr>
        <w:t xml:space="preserve">-NCR, </w:t>
      </w:r>
      <w:proofErr w:type="spellStart"/>
      <w:r>
        <w:rPr>
          <w:rFonts w:ascii="Times New Roman" w:hAnsi="Times New Roman" w:cs="Times New Roman"/>
          <w:sz w:val="24"/>
        </w:rPr>
        <w:t>Model+</w:t>
      </w:r>
      <w:r>
        <w:rPr>
          <w:rFonts w:ascii="Times New Roman" w:hAnsi="Times New Roman" w:cs="Times New Roman" w:hint="eastAsia"/>
          <w:sz w:val="24"/>
        </w:rPr>
        <w:t>LGG</w:t>
      </w:r>
      <w:r>
        <w:rPr>
          <w:rFonts w:ascii="Times New Roman" w:hAnsi="Times New Roman" w:cs="Times New Roman"/>
          <w:sz w:val="24"/>
        </w:rPr>
        <w:t>+NC_R</w:t>
      </w:r>
      <w:proofErr w:type="spellEnd"/>
      <w:r>
        <w:rPr>
          <w:rFonts w:ascii="Times New Roman" w:hAnsi="Times New Roman" w:cs="Times New Roman"/>
          <w:sz w:val="24"/>
        </w:rPr>
        <w:t xml:space="preserve"> group.</w:t>
      </w:r>
    </w:p>
    <w:p w14:paraId="0F0BBBF3" w14:textId="77777777" w:rsidR="00F579B2" w:rsidRDefault="00F579B2">
      <w:pPr>
        <w:rPr>
          <w:rFonts w:ascii="Times New Roman" w:hAnsi="Times New Roman" w:cs="Times New Roman"/>
          <w:b/>
          <w:bCs/>
          <w:sz w:val="24"/>
        </w:rPr>
      </w:pPr>
    </w:p>
    <w:p w14:paraId="477548BD" w14:textId="77777777" w:rsidR="00F579B2" w:rsidRDefault="00910AA3">
      <w:pPr>
        <w:rPr>
          <w:rFonts w:ascii="Times New Roman" w:hAnsi="Times New Roman" w:cs="Times New Roman"/>
          <w:b/>
          <w:bCs/>
          <w:sz w:val="24"/>
        </w:rPr>
      </w:pPr>
      <w:r>
        <w:rPr>
          <w:rFonts w:ascii="Times New Roman" w:hAnsi="Times New Roman" w:cs="Times New Roman" w:hint="eastAsia"/>
          <w:b/>
          <w:bCs/>
          <w:noProof/>
          <w:sz w:val="24"/>
        </w:rPr>
        <w:lastRenderedPageBreak/>
        <w:drawing>
          <wp:inline distT="0" distB="0" distL="114300" distR="114300">
            <wp:extent cx="5270500" cy="7752080"/>
            <wp:effectExtent l="0" t="0" r="6350" b="1270"/>
            <wp:docPr id="5" name="图片 5" descr="补充图5-M_LCCvsLCC_NC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补充图5-M_LCCvsLCC_NCR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752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745FBC" w14:textId="77777777" w:rsidR="00F579B2" w:rsidRDefault="00910AA3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b/>
          <w:bCs/>
          <w:sz w:val="24"/>
        </w:rPr>
        <w:t>Supplementary</w:t>
      </w:r>
      <w:r>
        <w:rPr>
          <w:rFonts w:ascii="Times New Roman" w:hAnsi="Times New Roman" w:cs="Times New Roman" w:hint="eastAsia"/>
          <w:b/>
          <w:bCs/>
          <w:sz w:val="24"/>
        </w:rPr>
        <w:t xml:space="preserve"> </w:t>
      </w:r>
      <w:r>
        <w:rPr>
          <w:rFonts w:ascii="Times New Roman" w:hAnsi="Times New Roman" w:cs="Times New Roman"/>
          <w:b/>
          <w:bCs/>
          <w:sz w:val="24"/>
        </w:rPr>
        <w:t xml:space="preserve">Fig. </w:t>
      </w:r>
      <w:r>
        <w:rPr>
          <w:rFonts w:ascii="Times New Roman" w:hAnsi="Times New Roman" w:cs="Times New Roman" w:hint="eastAsia"/>
          <w:b/>
          <w:bCs/>
          <w:sz w:val="24"/>
        </w:rPr>
        <w:t>5</w:t>
      </w:r>
      <w:r>
        <w:rPr>
          <w:rFonts w:ascii="Times New Roman" w:hAnsi="Times New Roman" w:cs="Times New Roman"/>
          <w:b/>
          <w:bCs/>
          <w:sz w:val="24"/>
        </w:rPr>
        <w:t xml:space="preserve">. Bioinformatics analysis of differential metabolites between the M-LGG and M-LGG-NCR groups. </w:t>
      </w:r>
      <w:r>
        <w:rPr>
          <w:rFonts w:ascii="Times New Roman" w:hAnsi="Times New Roman" w:cs="Times New Roman"/>
          <w:sz w:val="24"/>
        </w:rPr>
        <w:t>(</w:t>
      </w:r>
      <w:r>
        <w:rPr>
          <w:rFonts w:ascii="Times New Roman" w:hAnsi="Times New Roman" w:cs="Times New Roman" w:hint="eastAsia"/>
          <w:sz w:val="24"/>
        </w:rPr>
        <w:t>A</w:t>
      </w:r>
      <w:r>
        <w:rPr>
          <w:rFonts w:ascii="Times New Roman" w:hAnsi="Times New Roman" w:cs="Times New Roman"/>
          <w:sz w:val="24"/>
        </w:rPr>
        <w:t>)</w:t>
      </w:r>
      <w:r>
        <w:rPr>
          <w:rFonts w:ascii="Times New Roman" w:hAnsi="Times New Roman" w:cs="Times New Roman" w:hint="eastAsia"/>
          <w:sz w:val="24"/>
        </w:rPr>
        <w:t xml:space="preserve"> OPLS-DA score scatter plot. The horizontal distance between samples reflects intergroup differences (M-LGG </w:t>
      </w:r>
      <w:r>
        <w:rPr>
          <w:rFonts w:ascii="Times New Roman" w:hAnsi="Times New Roman" w:cs="Times New Roman" w:hint="eastAsia"/>
          <w:i/>
          <w:iCs/>
          <w:sz w:val="24"/>
        </w:rPr>
        <w:t>vs.</w:t>
      </w:r>
      <w:r>
        <w:rPr>
          <w:rFonts w:ascii="Times New Roman" w:hAnsi="Times New Roman" w:cs="Times New Roman" w:hint="eastAsia"/>
          <w:sz w:val="24"/>
        </w:rPr>
        <w:t xml:space="preserve"> M-LGG-NCR), while vertical proximity indicates </w:t>
      </w:r>
      <w:r>
        <w:rPr>
          <w:rFonts w:ascii="Times New Roman" w:hAnsi="Times New Roman" w:cs="Times New Roman" w:hint="eastAsia"/>
          <w:sz w:val="24"/>
        </w:rPr>
        <w:t xml:space="preserve">intra-group reproducibility. </w:t>
      </w:r>
      <w:r>
        <w:rPr>
          <w:rFonts w:ascii="Times New Roman" w:hAnsi="Times New Roman" w:cs="Times New Roman"/>
          <w:sz w:val="24"/>
        </w:rPr>
        <w:t>(</w:t>
      </w:r>
      <w:r>
        <w:rPr>
          <w:rFonts w:ascii="Times New Roman" w:hAnsi="Times New Roman" w:cs="Times New Roman" w:hint="eastAsia"/>
          <w:sz w:val="24"/>
        </w:rPr>
        <w:t>B</w:t>
      </w:r>
      <w:r>
        <w:rPr>
          <w:rFonts w:ascii="Times New Roman" w:hAnsi="Times New Roman" w:cs="Times New Roman"/>
          <w:sz w:val="24"/>
        </w:rPr>
        <w:t xml:space="preserve">) Volcano </w:t>
      </w:r>
      <w:r>
        <w:rPr>
          <w:rFonts w:ascii="Times New Roman" w:hAnsi="Times New Roman" w:cs="Times New Roman"/>
          <w:sz w:val="24"/>
        </w:rPr>
        <w:lastRenderedPageBreak/>
        <w:t>plot displaying metabolites with significant changes (up- and down-regulated).</w:t>
      </w:r>
      <w:r>
        <w:rPr>
          <w:rFonts w:ascii="Times New Roman" w:hAnsi="Times New Roman" w:cs="Times New Roman" w:hint="eastAsia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 xml:space="preserve">Hierarchical clustering heatmap of the top 10 upregulated and downregulated metabolites between </w:t>
      </w:r>
      <w:r>
        <w:rPr>
          <w:rFonts w:ascii="Times New Roman" w:hAnsi="Times New Roman" w:cs="Times New Roman"/>
          <w:sz w:val="24"/>
          <w:szCs w:val="32"/>
        </w:rPr>
        <w:t>M-LGG and M-LGG-NCR</w:t>
      </w:r>
      <w:r>
        <w:rPr>
          <w:rFonts w:ascii="Times New Roman" w:hAnsi="Times New Roman" w:cs="Times New Roman"/>
          <w:sz w:val="24"/>
        </w:rPr>
        <w:t xml:space="preserve"> groups.</w:t>
      </w:r>
      <w:r>
        <w:rPr>
          <w:rFonts w:ascii="Times New Roman" w:hAnsi="Times New Roman" w:cs="Times New Roman" w:hint="eastAsia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(C) KEGG pat</w:t>
      </w:r>
      <w:r>
        <w:rPr>
          <w:rFonts w:ascii="Times New Roman" w:hAnsi="Times New Roman" w:cs="Times New Roman"/>
          <w:sz w:val="24"/>
        </w:rPr>
        <w:t xml:space="preserve">hway enrichment analysis (group comparison): Display of KEGG metabolic pathways in which differential metabolites show opposite trends between the </w:t>
      </w:r>
      <w:r>
        <w:rPr>
          <w:rFonts w:ascii="Times New Roman" w:hAnsi="Times New Roman" w:cs="Times New Roman"/>
          <w:sz w:val="24"/>
          <w:szCs w:val="32"/>
        </w:rPr>
        <w:t>M-LGG and M-LGG-NCR</w:t>
      </w:r>
      <w:r>
        <w:rPr>
          <w:rFonts w:ascii="Times New Roman" w:hAnsi="Times New Roman" w:cs="Times New Roman"/>
          <w:sz w:val="24"/>
        </w:rPr>
        <w:t xml:space="preserve"> groups. (D) KEGG pathway enrichment analysis (overview): Bar charts showing pathways with</w:t>
      </w:r>
      <w:r>
        <w:rPr>
          <w:rFonts w:ascii="Times New Roman" w:hAnsi="Times New Roman" w:cs="Times New Roman"/>
          <w:sz w:val="24"/>
        </w:rPr>
        <w:t xml:space="preserve"> the highest number of enriched differential metabolites (top) and pathways with the highest enrichment significance (bottom). (E) KEGG pathway enrichment bubble plots: Visualization of enrichment analysis results. Bubble color intensity represents enrichm</w:t>
      </w:r>
      <w:r>
        <w:rPr>
          <w:rFonts w:ascii="Times New Roman" w:hAnsi="Times New Roman" w:cs="Times New Roman"/>
          <w:sz w:val="24"/>
        </w:rPr>
        <w:t>ent significance (-log</w:t>
      </w:r>
      <w:r>
        <w:rPr>
          <w:rFonts w:ascii="Times New Roman" w:hAnsi="Times New Roman" w:cs="Times New Roman"/>
          <w:sz w:val="24"/>
          <w:vertAlign w:val="subscript"/>
        </w:rPr>
        <w:t>10</w:t>
      </w:r>
      <w:r>
        <w:rPr>
          <w:rFonts w:ascii="Times New Roman" w:hAnsi="Times New Roman" w:cs="Times New Roman"/>
          <w:sz w:val="24"/>
        </w:rPr>
        <w:t>(P-value)), and bubble size represents the number of differential metabolites. (F) KEGG pathway enrichment rectangular tree diagram, each square in the rectangular tree diagram represents a metabolic pathway, and the size of the squ</w:t>
      </w:r>
      <w:r>
        <w:rPr>
          <w:rFonts w:ascii="Times New Roman" w:hAnsi="Times New Roman" w:cs="Times New Roman"/>
          <w:sz w:val="24"/>
        </w:rPr>
        <w:t xml:space="preserve">are indicates the size of the influence factor of the pathway in topology analysis. The larger the size, the greater the influence factor. The color of the square represents the P value of enrichment analysis (negative natural logarithm, that is, -ln(p)), </w:t>
      </w:r>
      <w:r>
        <w:rPr>
          <w:rFonts w:ascii="Times New Roman" w:hAnsi="Times New Roman" w:cs="Times New Roman"/>
          <w:sz w:val="24"/>
        </w:rPr>
        <w:t xml:space="preserve">and the deeper the color, the smaller the </w:t>
      </w:r>
      <w:r>
        <w:rPr>
          <w:rFonts w:ascii="Times New Roman" w:hAnsi="Times New Roman" w:cs="Times New Roman"/>
          <w:i/>
          <w:iCs/>
          <w:sz w:val="24"/>
        </w:rPr>
        <w:t>P</w:t>
      </w:r>
      <w:r>
        <w:rPr>
          <w:rFonts w:ascii="Times New Roman" w:hAnsi="Times New Roman" w:cs="Times New Roman"/>
          <w:sz w:val="24"/>
        </w:rPr>
        <w:t xml:space="preserve"> value, and the more significant the enrichment degree highlighting key pathways such as "Pantothenate and CoA biosynthesis". (G) Metabolic pathway regulatory interaction network: Constructed based on the KEGG dat</w:t>
      </w:r>
      <w:r>
        <w:rPr>
          <w:rFonts w:ascii="Times New Roman" w:hAnsi="Times New Roman" w:cs="Times New Roman"/>
          <w:sz w:val="24"/>
        </w:rPr>
        <w:t>abase, illustrating the interactions among key metabolic pathways, associated regulatory enzymes, and differential metabolites.</w:t>
      </w:r>
    </w:p>
    <w:p w14:paraId="0089B0C7" w14:textId="154DACD2" w:rsidR="00F579B2" w:rsidRDefault="00910AA3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Note:</w:t>
      </w:r>
      <w:r>
        <w:rPr>
          <w:rFonts w:ascii="Times New Roman" w:hAnsi="Times New Roman" w:cs="Times New Roman" w:hint="eastAsia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M-</w:t>
      </w:r>
      <w:r>
        <w:rPr>
          <w:rFonts w:ascii="Times New Roman" w:hAnsi="Times New Roman" w:cs="Times New Roman" w:hint="eastAsia"/>
          <w:sz w:val="24"/>
        </w:rPr>
        <w:t>LGG</w:t>
      </w:r>
      <w:r>
        <w:rPr>
          <w:rFonts w:ascii="Times New Roman" w:hAnsi="Times New Roman" w:cs="Times New Roman"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</w:rPr>
        <w:t>Model+</w:t>
      </w:r>
      <w:r>
        <w:rPr>
          <w:rFonts w:ascii="Times New Roman" w:hAnsi="Times New Roman" w:cs="Times New Roman" w:hint="eastAsia"/>
          <w:sz w:val="24"/>
        </w:rPr>
        <w:t>LGG</w:t>
      </w:r>
      <w:proofErr w:type="spellEnd"/>
      <w:r>
        <w:rPr>
          <w:rFonts w:ascii="Times New Roman" w:hAnsi="Times New Roman" w:cs="Times New Roman"/>
          <w:sz w:val="24"/>
        </w:rPr>
        <w:t xml:space="preserve"> group; </w:t>
      </w:r>
      <w:r>
        <w:rPr>
          <w:rFonts w:ascii="Times New Roman" w:hAnsi="Times New Roman" w:cs="Times New Roman" w:hint="eastAsia"/>
          <w:sz w:val="24"/>
        </w:rPr>
        <w:t>M-LGG</w:t>
      </w:r>
      <w:r>
        <w:rPr>
          <w:rFonts w:ascii="Times New Roman" w:hAnsi="Times New Roman" w:cs="Times New Roman"/>
          <w:sz w:val="24"/>
        </w:rPr>
        <w:t xml:space="preserve">-NCR, </w:t>
      </w:r>
      <w:proofErr w:type="spellStart"/>
      <w:r>
        <w:rPr>
          <w:rFonts w:ascii="Times New Roman" w:hAnsi="Times New Roman" w:cs="Times New Roman"/>
          <w:sz w:val="24"/>
        </w:rPr>
        <w:t>Model+</w:t>
      </w:r>
      <w:r>
        <w:rPr>
          <w:rFonts w:ascii="Times New Roman" w:hAnsi="Times New Roman" w:cs="Times New Roman" w:hint="eastAsia"/>
          <w:sz w:val="24"/>
        </w:rPr>
        <w:t>LGG</w:t>
      </w:r>
      <w:r>
        <w:rPr>
          <w:rFonts w:ascii="Times New Roman" w:hAnsi="Times New Roman" w:cs="Times New Roman"/>
          <w:sz w:val="24"/>
        </w:rPr>
        <w:t>+NC_R</w:t>
      </w:r>
      <w:proofErr w:type="spellEnd"/>
      <w:r>
        <w:rPr>
          <w:rFonts w:ascii="Times New Roman" w:hAnsi="Times New Roman" w:cs="Times New Roman"/>
          <w:sz w:val="24"/>
        </w:rPr>
        <w:t xml:space="preserve"> group.</w:t>
      </w:r>
    </w:p>
    <w:p w14:paraId="5FEBA032" w14:textId="6D6D88EF" w:rsidR="002636A6" w:rsidRDefault="002636A6">
      <w:pPr>
        <w:rPr>
          <w:rFonts w:ascii="Times New Roman" w:hAnsi="Times New Roman" w:cs="Times New Roman"/>
          <w:sz w:val="24"/>
        </w:rPr>
      </w:pPr>
    </w:p>
    <w:p w14:paraId="1E2B32CF" w14:textId="77777777" w:rsidR="002636A6" w:rsidRDefault="002636A6">
      <w:pPr>
        <w:rPr>
          <w:rFonts w:ascii="Times New Roman" w:hAnsi="Times New Roman" w:cs="Times New Roman" w:hint="eastAsia"/>
          <w:sz w:val="24"/>
        </w:rPr>
      </w:pPr>
    </w:p>
    <w:p w14:paraId="3D4F70F9" w14:textId="77777777" w:rsidR="00F579B2" w:rsidRDefault="00910AA3">
      <w:pPr>
        <w:rPr>
          <w:rFonts w:ascii="Times New Roman" w:hAnsi="Times New Roman" w:cs="Times New Roman"/>
          <w:b/>
          <w:bCs/>
          <w:sz w:val="24"/>
        </w:rPr>
      </w:pPr>
      <w:r>
        <w:rPr>
          <w:rFonts w:ascii="Times New Roman" w:hAnsi="Times New Roman" w:cs="Times New Roman" w:hint="eastAsia"/>
          <w:b/>
          <w:bCs/>
          <w:noProof/>
          <w:sz w:val="24"/>
        </w:rPr>
        <w:drawing>
          <wp:inline distT="0" distB="0" distL="114300" distR="114300">
            <wp:extent cx="5269230" cy="2571750"/>
            <wp:effectExtent l="0" t="0" r="7620" b="0"/>
            <wp:docPr id="6" name="图片 6" descr="Supplementary Fig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Supplementary Figure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5CB3EC" w14:textId="77777777" w:rsidR="00F579B2" w:rsidRDefault="00910AA3">
      <w:pPr>
        <w:rPr>
          <w:rFonts w:ascii="Times New Roman" w:hAnsi="Times New Roman" w:cs="Times New Roman"/>
          <w:b/>
          <w:bCs/>
          <w:sz w:val="24"/>
        </w:rPr>
      </w:pPr>
      <w:r>
        <w:rPr>
          <w:rFonts w:ascii="Times New Roman" w:hAnsi="Times New Roman" w:cs="Times New Roman"/>
          <w:b/>
          <w:bCs/>
          <w:sz w:val="24"/>
        </w:rPr>
        <w:t>Supplementary</w:t>
      </w:r>
      <w:r>
        <w:rPr>
          <w:rFonts w:ascii="Times New Roman" w:hAnsi="Times New Roman" w:cs="Times New Roman" w:hint="eastAsia"/>
          <w:b/>
          <w:bCs/>
          <w:sz w:val="24"/>
        </w:rPr>
        <w:t xml:space="preserve"> </w:t>
      </w:r>
      <w:r>
        <w:rPr>
          <w:rFonts w:ascii="Times New Roman" w:hAnsi="Times New Roman" w:cs="Times New Roman"/>
          <w:b/>
          <w:bCs/>
          <w:sz w:val="24"/>
        </w:rPr>
        <w:t xml:space="preserve">Fig. </w:t>
      </w:r>
      <w:r>
        <w:rPr>
          <w:rFonts w:ascii="Times New Roman" w:hAnsi="Times New Roman" w:cs="Times New Roman" w:hint="eastAsia"/>
          <w:b/>
          <w:bCs/>
          <w:sz w:val="24"/>
        </w:rPr>
        <w:t>6</w:t>
      </w:r>
      <w:r>
        <w:rPr>
          <w:rFonts w:ascii="Times New Roman" w:hAnsi="Times New Roman" w:cs="Times New Roman"/>
          <w:b/>
          <w:bCs/>
          <w:sz w:val="24"/>
        </w:rPr>
        <w:t>.</w:t>
      </w:r>
      <w:r>
        <w:rPr>
          <w:rFonts w:ascii="Times New Roman" w:hAnsi="Times New Roman" w:cs="Times New Roman" w:hint="eastAsia"/>
          <w:b/>
          <w:bCs/>
          <w:sz w:val="24"/>
        </w:rPr>
        <w:t xml:space="preserve"> Experimental procedure diagram.</w:t>
      </w:r>
    </w:p>
    <w:p w14:paraId="57F2EEAB" w14:textId="77777777" w:rsidR="00F579B2" w:rsidRDefault="00F579B2">
      <w:pPr>
        <w:rPr>
          <w:rFonts w:ascii="Times New Roman" w:hAnsi="Times New Roman" w:cs="Times New Roman"/>
          <w:b/>
          <w:bCs/>
          <w:sz w:val="24"/>
        </w:rPr>
      </w:pPr>
    </w:p>
    <w:sectPr w:rsidR="00F579B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CFB1830" w14:textId="77777777" w:rsidR="00910AA3" w:rsidRDefault="00910AA3" w:rsidP="002636A6">
      <w:r>
        <w:separator/>
      </w:r>
    </w:p>
  </w:endnote>
  <w:endnote w:type="continuationSeparator" w:id="0">
    <w:p w14:paraId="5EE8F123" w14:textId="77777777" w:rsidR="00910AA3" w:rsidRDefault="00910AA3" w:rsidP="002636A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574E00F" w14:textId="77777777" w:rsidR="00910AA3" w:rsidRDefault="00910AA3" w:rsidP="002636A6">
      <w:r>
        <w:separator/>
      </w:r>
    </w:p>
  </w:footnote>
  <w:footnote w:type="continuationSeparator" w:id="0">
    <w:p w14:paraId="1D8DD328" w14:textId="77777777" w:rsidR="00910AA3" w:rsidRDefault="00910AA3" w:rsidP="002636A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50A37B5A"/>
    <w:rsid w:val="001C7481"/>
    <w:rsid w:val="002636A6"/>
    <w:rsid w:val="00375583"/>
    <w:rsid w:val="003965C8"/>
    <w:rsid w:val="00491509"/>
    <w:rsid w:val="00631DF4"/>
    <w:rsid w:val="007234ED"/>
    <w:rsid w:val="00910AA3"/>
    <w:rsid w:val="00A52C92"/>
    <w:rsid w:val="00AD26E8"/>
    <w:rsid w:val="00B1221D"/>
    <w:rsid w:val="00B90A3C"/>
    <w:rsid w:val="00B973D0"/>
    <w:rsid w:val="00C9205F"/>
    <w:rsid w:val="00F52E6B"/>
    <w:rsid w:val="00F579B2"/>
    <w:rsid w:val="09C97FE2"/>
    <w:rsid w:val="50A37B5A"/>
    <w:rsid w:val="7A2670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328CF1F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caption" w:semiHidden="1" w:unhideWhenUsed="1" w:qFormat="1"/>
    <w:lsdException w:name="annotation reference" w:qFormat="1"/>
    <w:lsdException w:name="Title" w:qFormat="1"/>
    <w:lsdException w:name="Default Paragraph Font" w:semiHidden="1" w:uiPriority="1" w:unhideWhenUsed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 w:qFormat="1"/>
    <w:lsdException w:name="annotation subject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a4"/>
    <w:pPr>
      <w:jc w:val="left"/>
    </w:pPr>
  </w:style>
  <w:style w:type="paragraph" w:styleId="a5">
    <w:name w:val="footer"/>
    <w:basedOn w:val="a"/>
    <w:link w:val="a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9">
    <w:name w:val="annotation subject"/>
    <w:basedOn w:val="a3"/>
    <w:next w:val="a3"/>
    <w:link w:val="aa"/>
    <w:qFormat/>
    <w:rPr>
      <w:b/>
      <w:bCs/>
    </w:rPr>
  </w:style>
  <w:style w:type="character" w:styleId="ab">
    <w:name w:val="annotation reference"/>
    <w:basedOn w:val="a0"/>
    <w:qFormat/>
    <w:rPr>
      <w:sz w:val="21"/>
      <w:szCs w:val="21"/>
    </w:rPr>
  </w:style>
  <w:style w:type="character" w:customStyle="1" w:styleId="a4">
    <w:name w:val="批注文字 字符"/>
    <w:basedOn w:val="a0"/>
    <w:link w:val="a3"/>
    <w:rPr>
      <w:kern w:val="2"/>
      <w:sz w:val="21"/>
      <w:szCs w:val="24"/>
    </w:rPr>
  </w:style>
  <w:style w:type="character" w:customStyle="1" w:styleId="aa">
    <w:name w:val="批注主题 字符"/>
    <w:basedOn w:val="a4"/>
    <w:link w:val="a9"/>
    <w:rPr>
      <w:b/>
      <w:bCs/>
      <w:kern w:val="2"/>
      <w:sz w:val="21"/>
      <w:szCs w:val="24"/>
    </w:rPr>
  </w:style>
  <w:style w:type="character" w:customStyle="1" w:styleId="a8">
    <w:name w:val="页眉 字符"/>
    <w:basedOn w:val="a0"/>
    <w:link w:val="a7"/>
    <w:rPr>
      <w:kern w:val="2"/>
      <w:sz w:val="18"/>
      <w:szCs w:val="18"/>
    </w:rPr>
  </w:style>
  <w:style w:type="character" w:customStyle="1" w:styleId="a6">
    <w:name w:val="页脚 字符"/>
    <w:basedOn w:val="a0"/>
    <w:link w:val="a5"/>
    <w:qFormat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image" Target="media/image6.tif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tiff"/><Relationship Id="rId5" Type="http://schemas.openxmlformats.org/officeDocument/2006/relationships/footnotes" Target="footnotes.xml"/><Relationship Id="rId10" Type="http://schemas.openxmlformats.org/officeDocument/2006/relationships/image" Target="media/image4.tiff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7095AD3-DAC1-4931-813E-086B9B278C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1253</Words>
  <Characters>7143</Characters>
  <Application>Microsoft Office Word</Application>
  <DocSecurity>0</DocSecurity>
  <Lines>59</Lines>
  <Paragraphs>16</Paragraphs>
  <ScaleCrop>false</ScaleCrop>
  <LinksUpToDate>false</LinksUpToDate>
  <CharactersWithSpaces>8380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2026-05-09T02:06:00Z</dcterms:created>
  <dcterms:modified xsi:type="dcterms:W3CDTF">2026-05-09T02:06:00Z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eyJoZGlkIjoiNWVjYzk3YWQxMjA3OGJiYjJiYWIxM2FkNTRhMGQxYTcifQ==</vt:lpwstr>
  </property>
  <property fmtid="{D5CDD505-2E9C-101B-9397-08002B2CF9AE}" pid="3" name="KSOProductBuildVer">
    <vt:lpwstr>2052-12.1.0.25865</vt:lpwstr>
  </property>
  <property fmtid="{D5CDD505-2E9C-101B-9397-08002B2CF9AE}" pid="4" name="ICV">
    <vt:lpwstr>D73979BA09894B61BB46E23EE45C16E4_12</vt:lpwstr>
  </property>
</Properties>
</file>